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Key: Subtracting Integers Practice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-2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26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-14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-12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-15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-5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-15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-2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39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-125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-50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29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